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B997" w14:textId="77777777" w:rsidR="00453713" w:rsidRPr="00453713" w:rsidRDefault="00453713" w:rsidP="00453713">
      <w:r w:rsidRPr="00453713">
        <w:t>Добрый день!</w:t>
      </w:r>
    </w:p>
    <w:p w14:paraId="35DA46A3" w14:textId="77777777" w:rsidR="00513D7D" w:rsidRDefault="00513D7D" w:rsidP="00513D7D">
      <w:r>
        <w:t>На ваш запрос сообщаю:</w:t>
      </w:r>
    </w:p>
    <w:p w14:paraId="29943BDA" w14:textId="77777777" w:rsidR="00513D7D" w:rsidRDefault="00513D7D" w:rsidP="00513D7D">
      <w:r>
        <w:t>1.       Плановое обслуживание оборудования связи происходит 3 раза в год по предварительной договоренности с Арендодателем, в остальных случаях доступ на крышу необходим, только при нарушении работы  оборудования.</w:t>
      </w:r>
    </w:p>
    <w:p w14:paraId="54FC3DD0" w14:textId="77777777" w:rsidR="00513D7D" w:rsidRDefault="00513D7D" w:rsidP="00513D7D">
      <w:r>
        <w:t>2.       Наша организация ООО «Т2-МОБАЙЛ» заключает прямой договор на электроэнергию с СПГС и является субабонентом. После согласования проекта на электричество, будет проложена линия по кабельной шахте дома до места расположения ГРУ  и установлен счетчик учета электроэнергии.</w:t>
      </w:r>
    </w:p>
    <w:p w14:paraId="7602DD2D" w14:textId="7AE40074" w:rsidR="00513D7D" w:rsidRDefault="00513D7D" w:rsidP="00513D7D">
      <w:r>
        <w:t>3.        Размер ежемесячной арендной составляет 20 000,00 (двадцать тысячи) рублей, без НДС.</w:t>
      </w:r>
    </w:p>
    <w:p w14:paraId="61CEED1F" w14:textId="77777777" w:rsidR="00453713" w:rsidRPr="00453713" w:rsidRDefault="00453713" w:rsidP="00453713">
      <w:r w:rsidRPr="00453713">
        <w:t>После подписания Договора наша организация инициирует процесс получения первичного Санитарно-эпидемиологического заключения (Р-1), разрабатывается  проект включающий замеры и анализ всех необходимых параметров конкретного места размещения оборудования Т2. После монтажа  и настройки оборудования Т2 заказывается повторное сертификат Санитарно-эпидемиологическое заключения (Р-2), в проекте проверяется все параметры и соответствия,  в случае нарушения   выдается предписание на устранение. Обращаем Ваше внимание, что эксплуатация оборудования без получения заключений СЭЗ Р-1 и СЭЗ Р-2 категорически запрещена.. Дополнительно информируем, что панельные антенны представляют собой устройства линейного действия, являющиеся неотъемлемой частью инфраструктуры сотовой связи, не относятся к средствам излучения. Пример Р-1 и Р-2 прилагаю.</w:t>
      </w:r>
    </w:p>
    <w:p w14:paraId="5A6BBB04" w14:textId="77777777" w:rsidR="00453713" w:rsidRPr="00453713" w:rsidRDefault="00453713" w:rsidP="00453713">
      <w:r w:rsidRPr="00453713">
        <w:t>Договор заключается на 11 месяцев с автоматической пролонгацией, форму Договора прилагаю.</w:t>
      </w:r>
    </w:p>
    <w:p w14:paraId="35F522D0" w14:textId="67F47047" w:rsidR="00FD31FF" w:rsidRDefault="00513D7D">
      <w:r>
        <w:rPr>
          <w:noProof/>
        </w:rPr>
        <w:lastRenderedPageBreak/>
        <w:drawing>
          <wp:inline distT="0" distB="0" distL="0" distR="0" wp14:anchorId="0D63B5B9" wp14:editId="2ED9789A">
            <wp:extent cx="5940425" cy="5940425"/>
            <wp:effectExtent l="0" t="0" r="3175" b="3175"/>
            <wp:docPr id="6046219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3F29C9" wp14:editId="75F6BA34">
            <wp:extent cx="5940425" cy="5940425"/>
            <wp:effectExtent l="0" t="0" r="3175" b="3175"/>
            <wp:docPr id="1072680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32EAF9" wp14:editId="47DCE7C9">
            <wp:extent cx="5940425" cy="5940425"/>
            <wp:effectExtent l="0" t="0" r="3175" b="3175"/>
            <wp:docPr id="349899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6D1BF5" wp14:editId="69370267">
            <wp:extent cx="5940425" cy="5940425"/>
            <wp:effectExtent l="0" t="0" r="3175" b="3175"/>
            <wp:docPr id="633131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F"/>
    <w:rsid w:val="0001733E"/>
    <w:rsid w:val="00453713"/>
    <w:rsid w:val="00513D7D"/>
    <w:rsid w:val="00812D26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A91C"/>
  <w15:chartTrackingRefBased/>
  <w15:docId w15:val="{908F17F0-F3A4-4FC3-82DD-569F968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1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1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1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1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1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1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2026-02-09T19:14:00Z</dcterms:created>
  <dcterms:modified xsi:type="dcterms:W3CDTF">2026-02-09T19:20:00Z</dcterms:modified>
</cp:coreProperties>
</file>